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before="1400"/>
        <w:jc w:val="center"/>
      </w:pPr>
      <w:r>
        <w:drawing>
          <wp:inline distT="0" distB="0" distL="0" distR="0">
            <wp:extent cx="1809750" cy="1809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809750" cy="1809750"/>
                    </a:xfrm>
                    <a:prstGeom prst="rect">
                      <a:avLst/>
                    </a:prstGeom>
                  </pic:spPr>
                </pic:pic>
              </a:graphicData>
            </a:graphic>
          </wp:inline>
        </w:drawing>
      </w:r>
    </w:p>
    <w:p>
      <w:pPr>
        <w:spacing w:after="160"/>
        <w:jc w:val="center"/>
      </w:pPr>
      <w:r>
        <w:rPr>
          <w:color w:val="666666"/>
          <w:sz w:val="26"/>
          <w:szCs w:val="26"/>
        </w:rPr>
        <w:t xml:space="preserve">POP HUB – Associação</w:t>
      </w:r>
    </w:p>
    <w:p>
      <w:pPr>
        <w:spacing w:after="500"/>
        <w:jc w:val="center"/>
      </w:pPr>
      <w:r>
        <w:rPr>
          <w:b/>
          <w:bCs/>
          <w:color w:val="5E4673"/>
          <w:sz w:val="52"/>
          <w:szCs w:val="52"/>
        </w:rPr>
        <w:t xml:space="preserve">Child Safeguarding Policy</w:t>
      </w:r>
    </w:p>
    <w:p>
      <w:pPr>
        <w:shd w:fill="F2D37A" w:color="auto" w:val="clear"/>
        <w:spacing w:after="900"/>
        <w:jc w:val="center"/>
      </w:pPr>
      <w:r>
        <w:rPr>
          <w:b/>
          <w:bCs/>
          <w:color w:val="3A2A47"/>
          <w:sz w:val="32"/>
          <w:szCs w:val="32"/>
        </w:rPr>
        <w:t xml:space="preserve">  ENGLISH VERSION (EN)  </w:t>
      </w:r>
    </w:p>
    <w:p>
      <w:pPr>
        <w:spacing w:after="80"/>
        <w:jc w:val="center"/>
      </w:pPr>
      <w:r>
        <w:rPr>
          <w:i/>
          <w:iCs/>
          <w:color w:val="666666"/>
          <w:sz w:val="20"/>
          <w:szCs w:val="20"/>
        </w:rPr>
        <w:t xml:space="preserve">Based on the Keeping Children Safe International Child Safeguarding Standards</w:t>
      </w:r>
    </w:p>
    <w:p>
      <w:pPr>
        <w:spacing w:after="80"/>
        <w:jc w:val="center"/>
      </w:pPr>
      <w:r>
        <w:rPr>
          <w:color w:val="444444"/>
          <w:sz w:val="22"/>
          <w:szCs w:val="22"/>
        </w:rPr>
        <w:t xml:space="preserve">Ferreira do Alentejo, Portugal</w:t>
      </w:r>
    </w:p>
    <w:p>
      <w:pPr>
        <w:spacing w:after="80"/>
        <w:jc w:val="center"/>
      </w:pPr>
      <w:r>
        <w:rPr>
          <w:color w:val="444444"/>
          <w:sz w:val="22"/>
          <w:szCs w:val="22"/>
        </w:rPr>
        <w:t xml:space="preserve">October 2026</w:t>
      </w:r>
    </w:p>
    <w:p>
      <w:r>
        <w:br w:type="page"/>
      </w:r>
    </w:p>
    <w:p>
      <w:pPr>
        <w:pStyle w:val="Heading1"/>
      </w:pPr>
      <w:r>
        <w:t xml:space="preserve">1. Policy statement</w:t>
      </w:r>
    </w:p>
    <w:p>
      <w:pPr>
        <w:spacing w:after="140"/>
      </w:pPr>
      <w:r>
        <w:t xml:space="preserve">POP HUB – Associação (Ferreira do Alentejo, Portugal) commits to keeping every child and young person it works with safe from harm, and to responding quickly and properly when concerns arise.</w:t>
      </w:r>
    </w:p>
    <w:p>
      <w:pPr>
        <w:spacing w:after="140"/>
      </w:pPr>
      <w:r>
        <w:t xml:space="preserve">POP HUB runs youth work, non-formal education, creative activities and international Erasmus+ and CERV projects, many involving participants under 18. This policy makes sure our people, activities and operations do no harm to children.</w:t>
      </w:r>
    </w:p>
    <w:p>
      <w:pPr>
        <w:spacing w:after="140"/>
      </w:pPr>
      <w:r>
        <w:t xml:space="preserve">The policy follows the four Keeping Children Safe International Child Safeguarding Standards — Policy, People, Procedures and Accountability — and the rights set out in the UN Convention on the Rights of the Child (UNCRC). It also complies with Portuguese law, including the Law for the Protection of Children and Young People in Danger (Lei n.º 147/99).</w:t>
      </w:r>
    </w:p>
    <w:p>
      <w:pPr>
        <w:spacing w:after="140"/>
      </w:pPr>
      <w:r>
        <w:t xml:space="preserve">The Board (Direção) of POP HUB approves this policy and holds final responsibility for its implementation.</w:t>
      </w:r>
    </w:p>
    <w:p>
      <w:pPr>
        <w:pStyle w:val="Heading1"/>
      </w:pPr>
      <w:r>
        <w:t xml:space="preserve">2. Scope and definitions</w:t>
      </w:r>
    </w:p>
    <w:p>
      <w:pPr>
        <w:spacing w:after="140"/>
      </w:pPr>
      <w:r>
        <w:t xml:space="preserve">This policy applies at all times, at work and outside it, to everyone acting for POP HUB:</w:t>
      </w:r>
    </w:p>
    <w:p>
      <w:pPr>
        <w:pStyle w:val="ListParagraph"/>
        <w:numPr>
          <w:ilvl w:val="0"/>
          <w:numId w:val="2"/>
        </w:numPr>
        <w:spacing w:after="60"/>
      </w:pPr>
      <w:r>
        <w:t xml:space="preserve">Board members, staff, facilitators, trainers and youth workers</w:t>
      </w:r>
    </w:p>
    <w:p>
      <w:pPr>
        <w:pStyle w:val="ListParagraph"/>
        <w:numPr>
          <w:ilvl w:val="0"/>
          <w:numId w:val="2"/>
        </w:numPr>
        <w:spacing w:after="60"/>
      </w:pPr>
      <w:r>
        <w:t xml:space="preserve">Volunteers, interns and members</w:t>
      </w:r>
    </w:p>
    <w:p>
      <w:pPr>
        <w:pStyle w:val="ListParagraph"/>
        <w:numPr>
          <w:ilvl w:val="0"/>
          <w:numId w:val="2"/>
        </w:numPr>
        <w:spacing w:after="60"/>
      </w:pPr>
      <w:r>
        <w:t xml:space="preserve">Consultants, contractors, photographers and other associates</w:t>
      </w:r>
    </w:p>
    <w:p>
      <w:pPr>
        <w:pStyle w:val="ListParagraph"/>
        <w:numPr>
          <w:ilvl w:val="0"/>
          <w:numId w:val="2"/>
        </w:numPr>
        <w:spacing w:after="60"/>
      </w:pPr>
      <w:r>
        <w:t xml:space="preserve">Partner organisations in national and international projects</w:t>
      </w:r>
    </w:p>
    <w:p>
      <w:pPr>
        <w:pStyle w:val="ListParagraph"/>
        <w:numPr>
          <w:ilvl w:val="0"/>
          <w:numId w:val="2"/>
        </w:numPr>
        <w:spacing w:after="60"/>
      </w:pPr>
      <w:r>
        <w:t xml:space="preserve">Visitors and group leaders who come into contact with children through POP HUB</w:t>
      </w:r>
    </w:p>
    <w:p>
      <w:pPr>
        <w:spacing w:after="140"/>
      </w:pPr>
      <w:r>
        <w:t xml:space="preserve">It covers all activities: local youth work, workshops, events, youth exchanges, training courses, online activities, communications and fundraising.</w:t>
      </w:r>
    </w:p>
    <w:p>
      <w:pPr>
        <w:spacing w:after="140"/>
      </w:pPr>
      <w:r>
        <w:rPr>
          <w:b/>
          <w:bCs/>
        </w:rPr>
        <w:t xml:space="preserve">Key definitions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00"/>
        <w:gridCol w:w="5626"/>
      </w:tblGrid>
      <w:tr>
        <w:trPr>
          <w:tblHeader/>
        </w:trPr>
        <w:tc>
          <w:tcPr>
            <w:tcW w:type="dxa" w:w="3400"/>
            <w:tcBorders>
              <w:top w:val="single" w:color="CCBFD6" w:sz="4"/>
              <w:left w:val="single" w:color="CCBFD6" w:sz="4"/>
              <w:bottom w:val="single" w:color="CCBFD6" w:sz="4"/>
              <w:right w:val="single" w:color="CCBFD6" w:sz="4"/>
            </w:tcBorders>
            <w:shd w:fill="B6A3C3" w:color="auto" w:val="clear"/>
            <w:tcMar>
              <w:top w:type="dxa" w:w="80"/>
              <w:left w:type="dxa" w:w="120"/>
              <w:bottom w:type="dxa" w:w="80"/>
              <w:right w:type="dxa" w:w="120"/>
            </w:tcMar>
          </w:tcPr>
          <w:p>
            <w:pPr>
              <w:spacing w:after="0"/>
            </w:pPr>
            <w:r>
              <w:rPr>
                <w:b/>
                <w:bCs/>
                <w:color w:val="FFFFFF"/>
                <w:sz w:val="19"/>
                <w:szCs w:val="19"/>
              </w:rPr>
              <w:t xml:space="preserve">Term</w:t>
            </w:r>
          </w:p>
        </w:tc>
        <w:tc>
          <w:tcPr>
            <w:tcW w:type="dxa" w:w="5626"/>
            <w:tcBorders>
              <w:top w:val="single" w:color="CCBFD6" w:sz="4"/>
              <w:left w:val="single" w:color="CCBFD6" w:sz="4"/>
              <w:bottom w:val="single" w:color="CCBFD6" w:sz="4"/>
              <w:right w:val="single" w:color="CCBFD6" w:sz="4"/>
            </w:tcBorders>
            <w:shd w:fill="B6A3C3" w:color="auto" w:val="clear"/>
            <w:tcMar>
              <w:top w:type="dxa" w:w="80"/>
              <w:left w:type="dxa" w:w="120"/>
              <w:bottom w:type="dxa" w:w="80"/>
              <w:right w:type="dxa" w:w="120"/>
            </w:tcMar>
          </w:tcPr>
          <w:p>
            <w:pPr>
              <w:spacing w:after="0"/>
            </w:pPr>
            <w:r>
              <w:rPr>
                <w:b/>
                <w:bCs/>
                <w:color w:val="FFFFFF"/>
                <w:sz w:val="19"/>
                <w:szCs w:val="19"/>
              </w:rPr>
              <w:t xml:space="preserve">Meaning in this policy</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Child</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Anyone under 18, regardless of the age of majority or consent in any country</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Child safeguarding</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POP HUB's duty to make sure its people, activities and operations do not expose children to harm, and to report concerns to the competent authorities</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Physical abuse</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Actual or potential physical harm by an adult or another child, e.g. hitting, shaking, burning</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Sexual abuse</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Involving a child in sexual activity or sexual images, online or offline</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Sexual exploitation</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Sexual activity in exchange for money, gifts, status, affection or anything else, usually through manipulation or coercion</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Emotional abuse</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Persistent humiliation, threats, discrimination, bullying or cyberbullying</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Neglect</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Persistent failure to meet a child's basic needs, including failing to supervise and protect them</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Commercial exploitation</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Using a child's work or activities for others' benefit, to the detriment of the child</w:t>
            </w:r>
          </w:p>
        </w:tc>
      </w:tr>
    </w:tbl>
    <w:p>
      <w:pPr>
        <w:spacing w:after="120"/>
      </w:pPr>
    </w:p>
    <w:p>
      <w:pPr>
        <w:spacing w:after="140"/>
      </w:pPr>
      <w:r>
        <w:t xml:space="preserve">Harm can come from adults or other children, in person or online. It can also come from poorly designed activities.</w:t>
      </w:r>
    </w:p>
    <w:p>
      <w:pPr>
        <w:pStyle w:val="Heading1"/>
      </w:pPr>
      <w:r>
        <w:t xml:space="preserve">3. Guiding principles</w:t>
      </w:r>
    </w:p>
    <w:p>
      <w:pPr>
        <w:pStyle w:val="ListParagraph"/>
        <w:numPr>
          <w:ilvl w:val="0"/>
          <w:numId w:val="3"/>
        </w:numPr>
        <w:spacing w:after="60"/>
      </w:pPr>
      <w:r>
        <w:t xml:space="preserve">Every child has an equal right to protection, regardless of ability, ethnicity, faith, gender, sexual orientation, background or where they live.</w:t>
      </w:r>
    </w:p>
    <w:p>
      <w:pPr>
        <w:pStyle w:val="ListParagraph"/>
        <w:numPr>
          <w:ilvl w:val="0"/>
          <w:numId w:val="3"/>
        </w:numPr>
        <w:spacing w:after="60"/>
      </w:pPr>
      <w:r>
        <w:t xml:space="preserve">Some children face greater risks or barriers to getting help — for example rural youth, children with disabilities or those with fewer opportunities — and we adapt our measures to them.</w:t>
      </w:r>
    </w:p>
    <w:p>
      <w:pPr>
        <w:pStyle w:val="ListParagraph"/>
        <w:numPr>
          <w:ilvl w:val="0"/>
          <w:numId w:val="3"/>
        </w:numPr>
        <w:spacing w:after="60"/>
      </w:pPr>
      <w:r>
        <w:t xml:space="preserve">Safeguarding is everyone's responsibility.</w:t>
      </w:r>
    </w:p>
    <w:p>
      <w:pPr>
        <w:pStyle w:val="ListParagraph"/>
        <w:numPr>
          <w:ilvl w:val="0"/>
          <w:numId w:val="3"/>
        </w:numPr>
        <w:spacing w:after="60"/>
      </w:pPr>
      <w:r>
        <w:t xml:space="preserve">The best interests and safety of the child always come first.</w:t>
      </w:r>
    </w:p>
    <w:p>
      <w:pPr>
        <w:pStyle w:val="ListParagraph"/>
        <w:numPr>
          <w:ilvl w:val="0"/>
          <w:numId w:val="3"/>
        </w:numPr>
        <w:spacing w:after="60"/>
      </w:pPr>
      <w:r>
        <w:t xml:space="preserve">Every concern is taken seriously: if in doubt, speak out.</w:t>
      </w:r>
    </w:p>
    <w:p>
      <w:pPr>
        <w:pStyle w:val="ListParagraph"/>
        <w:numPr>
          <w:ilvl w:val="0"/>
          <w:numId w:val="3"/>
        </w:numPr>
        <w:spacing w:after="60"/>
      </w:pPr>
      <w:r>
        <w:t xml:space="preserve">Children are listened to and involved in shaping how we keep them safe.</w:t>
      </w:r>
    </w:p>
    <w:p>
      <w:pPr>
        <w:pStyle w:val="ListParagraph"/>
        <w:numPr>
          <w:ilvl w:val="0"/>
          <w:numId w:val="3"/>
        </w:numPr>
        <w:spacing w:after="60"/>
      </w:pPr>
      <w:r>
        <w:t xml:space="preserve">We help our partners meet the same minimum standards.</w:t>
      </w:r>
    </w:p>
    <w:p>
      <w:pPr>
        <w:pStyle w:val="ListParagraph"/>
        <w:numPr>
          <w:ilvl w:val="0"/>
          <w:numId w:val="3"/>
        </w:numPr>
        <w:spacing w:after="60"/>
      </w:pPr>
      <w:r>
        <w:t xml:space="preserve">Information is shared only with those who need it, confidentially and in line with GDPR.</w:t>
      </w:r>
    </w:p>
    <w:p>
      <w:pPr>
        <w:pStyle w:val="Heading1"/>
      </w:pPr>
      <w:r>
        <w:t xml:space="preserve">4. People: roles, recruitment and training</w:t>
      </w:r>
    </w:p>
    <w:p>
      <w:pPr>
        <w:spacing w:after="140"/>
      </w:pPr>
      <w:r>
        <w:t xml:space="preserve">POP HUB names a Child Safeguarding Lead and a Deputy, so there is never only one reporting route.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2600"/>
        <w:gridCol w:w="4126"/>
      </w:tblGrid>
      <w:tr>
        <w:trPr>
          <w:tblHeader/>
        </w:trPr>
        <w:tc>
          <w:tcPr>
            <w:tcW w:type="dxa" w:w="2300"/>
            <w:tcBorders>
              <w:top w:val="single" w:color="CCBFD6" w:sz="4"/>
              <w:left w:val="single" w:color="CCBFD6" w:sz="4"/>
              <w:bottom w:val="single" w:color="CCBFD6" w:sz="4"/>
              <w:right w:val="single" w:color="CCBFD6" w:sz="4"/>
            </w:tcBorders>
            <w:shd w:fill="B6A3C3" w:color="auto" w:val="clear"/>
            <w:tcMar>
              <w:top w:type="dxa" w:w="80"/>
              <w:left w:type="dxa" w:w="120"/>
              <w:bottom w:type="dxa" w:w="80"/>
              <w:right w:type="dxa" w:w="120"/>
            </w:tcMar>
          </w:tcPr>
          <w:p>
            <w:pPr>
              <w:spacing w:after="0"/>
            </w:pPr>
            <w:r>
              <w:rPr>
                <w:b/>
                <w:bCs/>
                <w:color w:val="FFFFFF"/>
                <w:sz w:val="19"/>
                <w:szCs w:val="19"/>
              </w:rPr>
              <w:t xml:space="preserve">Role</w:t>
            </w:r>
          </w:p>
        </w:tc>
        <w:tc>
          <w:tcPr>
            <w:tcW w:type="dxa" w:w="2600"/>
            <w:tcBorders>
              <w:top w:val="single" w:color="CCBFD6" w:sz="4"/>
              <w:left w:val="single" w:color="CCBFD6" w:sz="4"/>
              <w:bottom w:val="single" w:color="CCBFD6" w:sz="4"/>
              <w:right w:val="single" w:color="CCBFD6" w:sz="4"/>
            </w:tcBorders>
            <w:shd w:fill="B6A3C3" w:color="auto" w:val="clear"/>
            <w:tcMar>
              <w:top w:type="dxa" w:w="80"/>
              <w:left w:type="dxa" w:w="120"/>
              <w:bottom w:type="dxa" w:w="80"/>
              <w:right w:type="dxa" w:w="120"/>
            </w:tcMar>
          </w:tcPr>
          <w:p>
            <w:pPr>
              <w:spacing w:after="0"/>
            </w:pPr>
            <w:r>
              <w:rPr>
                <w:b/>
                <w:bCs/>
                <w:color w:val="FFFFFF"/>
                <w:sz w:val="19"/>
                <w:szCs w:val="19"/>
              </w:rPr>
              <w:t xml:space="preserve">Who</w:t>
            </w:r>
          </w:p>
        </w:tc>
        <w:tc>
          <w:tcPr>
            <w:tcW w:type="dxa" w:w="4126"/>
            <w:tcBorders>
              <w:top w:val="single" w:color="CCBFD6" w:sz="4"/>
              <w:left w:val="single" w:color="CCBFD6" w:sz="4"/>
              <w:bottom w:val="single" w:color="CCBFD6" w:sz="4"/>
              <w:right w:val="single" w:color="CCBFD6" w:sz="4"/>
            </w:tcBorders>
            <w:shd w:fill="B6A3C3" w:color="auto" w:val="clear"/>
            <w:tcMar>
              <w:top w:type="dxa" w:w="80"/>
              <w:left w:type="dxa" w:w="120"/>
              <w:bottom w:type="dxa" w:w="80"/>
              <w:right w:type="dxa" w:w="120"/>
            </w:tcMar>
          </w:tcPr>
          <w:p>
            <w:pPr>
              <w:spacing w:after="0"/>
            </w:pPr>
            <w:r>
              <w:rPr>
                <w:b/>
                <w:bCs/>
                <w:color w:val="FFFFFF"/>
                <w:sz w:val="19"/>
                <w:szCs w:val="19"/>
              </w:rPr>
              <w:t xml:space="preserve">Responsibilities</w:t>
            </w:r>
          </w:p>
        </w:tc>
      </w:tr>
      <w:tr>
        <w:trPr>
          <w:tblHeader w:val="off"/>
        </w:trPr>
        <w:tc>
          <w:tcPr>
            <w:tcW w:type="dxa" w:w="23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Board (Direção)</w:t>
            </w:r>
          </w:p>
        </w:tc>
        <w:tc>
          <w:tcPr>
            <w:tcW w:type="dxa" w:w="2600"/>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President and Board</w:t>
            </w:r>
          </w:p>
        </w:tc>
        <w:tc>
          <w:tcPr>
            <w:tcW w:type="dxa" w:w="41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Approves the policy, provides resources, receives safeguarding reports, holds final accountability</w:t>
            </w:r>
          </w:p>
        </w:tc>
      </w:tr>
      <w:tr>
        <w:trPr>
          <w:tblHeader w:val="off"/>
        </w:trPr>
        <w:tc>
          <w:tcPr>
            <w:tcW w:type="dxa" w:w="23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Child Safeguarding Lead</w:t>
            </w:r>
          </w:p>
        </w:tc>
        <w:tc>
          <w:tcPr>
            <w:tcW w:type="dxa" w:w="2600"/>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Michelle Rebelo (michelle@pophub.pt)</w:t>
            </w:r>
          </w:p>
        </w:tc>
        <w:tc>
          <w:tcPr>
            <w:tcW w:type="dxa" w:w="41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Focal point for all concerns; keeps records; liaises with CPCJ and authorities; coordinates training and risk assessments</w:t>
            </w:r>
          </w:p>
        </w:tc>
      </w:tr>
      <w:tr>
        <w:trPr>
          <w:tblHeader w:val="off"/>
        </w:trPr>
        <w:tc>
          <w:tcPr>
            <w:tcW w:type="dxa" w:w="23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Deputy Safeguarding Lead</w:t>
            </w:r>
          </w:p>
        </w:tc>
        <w:tc>
          <w:tcPr>
            <w:tcW w:type="dxa" w:w="2600"/>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[Name, contact]</w:t>
            </w:r>
          </w:p>
        </w:tc>
        <w:tc>
          <w:tcPr>
            <w:tcW w:type="dxa" w:w="41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Covers absences; second route if a concern involves the Lead</w:t>
            </w:r>
          </w:p>
        </w:tc>
      </w:tr>
      <w:tr>
        <w:trPr>
          <w:tblHeader w:val="off"/>
        </w:trPr>
        <w:tc>
          <w:tcPr>
            <w:tcW w:type="dxa" w:w="23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Activity / project coordinator</w:t>
            </w:r>
          </w:p>
        </w:tc>
        <w:tc>
          <w:tcPr>
            <w:tcW w:type="dxa" w:w="2600"/>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Per activity</w:t>
            </w:r>
          </w:p>
        </w:tc>
        <w:tc>
          <w:tcPr>
            <w:tcW w:type="dxa" w:w="41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Runs the activity risk assessment; briefs the team; acts as on-site focal point</w:t>
            </w:r>
          </w:p>
        </w:tc>
      </w:tr>
      <w:tr>
        <w:trPr>
          <w:tblHeader w:val="off"/>
        </w:trPr>
        <w:tc>
          <w:tcPr>
            <w:tcW w:type="dxa" w:w="23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Everyone covered by the policy</w:t>
            </w:r>
          </w:p>
        </w:tc>
        <w:tc>
          <w:tcPr>
            <w:tcW w:type="dxa" w:w="2600"/>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All</w:t>
            </w:r>
          </w:p>
        </w:tc>
        <w:tc>
          <w:tcPr>
            <w:tcW w:type="dxa" w:w="41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Follows the code of conduct; reports concerns without delay</w:t>
            </w:r>
          </w:p>
        </w:tc>
      </w:tr>
    </w:tbl>
    <w:p>
      <w:pPr>
        <w:spacing w:after="120"/>
      </w:pPr>
    </w:p>
    <w:p>
      <w:pPr>
        <w:spacing w:after="140"/>
      </w:pPr>
      <w:r>
        <w:rPr>
          <w:b/>
          <w:bCs/>
        </w:rPr>
        <w:t xml:space="preserve">Safe recruitment</w:t>
      </w:r>
      <w:r>
        <w:t xml:space="preserve"> (staff, volunteers, trainers, consultants)</w:t>
      </w:r>
    </w:p>
    <w:p>
      <w:pPr>
        <w:pStyle w:val="ListParagraph"/>
        <w:numPr>
          <w:ilvl w:val="0"/>
          <w:numId w:val="2"/>
        </w:numPr>
        <w:spacing w:after="60"/>
      </w:pPr>
      <w:r>
        <w:t xml:space="preserve">Every advert, role description and contract states POP HUB's safeguarding commitment.</w:t>
      </w:r>
    </w:p>
    <w:p>
      <w:pPr>
        <w:pStyle w:val="ListParagraph"/>
        <w:numPr>
          <w:ilvl w:val="0"/>
          <w:numId w:val="2"/>
        </w:numPr>
        <w:spacing w:after="60"/>
      </w:pPr>
      <w:r>
        <w:t xml:space="preserve">Each role is assessed for its contact with children, including online contact and access to their data.</w:t>
      </w:r>
    </w:p>
    <w:p>
      <w:pPr>
        <w:pStyle w:val="ListParagraph"/>
        <w:numPr>
          <w:ilvl w:val="0"/>
          <w:numId w:val="2"/>
        </w:numPr>
        <w:spacing w:after="60"/>
      </w:pPr>
      <w:r>
        <w:t xml:space="preserve">Interviews include questions on safeguarding attitudes and past practice.</w:t>
      </w:r>
    </w:p>
    <w:p>
      <w:pPr>
        <w:pStyle w:val="ListParagraph"/>
        <w:numPr>
          <w:ilvl w:val="0"/>
          <w:numId w:val="2"/>
        </w:numPr>
        <w:spacing w:after="60"/>
      </w:pPr>
      <w:r>
        <w:t xml:space="preserve">At least two references are taken and referees' identities verified.</w:t>
      </w:r>
    </w:p>
    <w:p>
      <w:pPr>
        <w:pStyle w:val="ListParagraph"/>
        <w:numPr>
          <w:ilvl w:val="0"/>
          <w:numId w:val="2"/>
        </w:numPr>
        <w:spacing w:after="60"/>
      </w:pPr>
      <w:r>
        <w:t xml:space="preserve">Anyone with regular contact with children presents a criminal record certificate for that purpose (Lei n.º 113/2009), renewed annually.</w:t>
      </w:r>
    </w:p>
    <w:p>
      <w:pPr>
        <w:pStyle w:val="ListParagraph"/>
        <w:numPr>
          <w:ilvl w:val="0"/>
          <w:numId w:val="2"/>
        </w:numPr>
        <w:spacing w:after="60"/>
      </w:pPr>
      <w:r>
        <w:t xml:space="preserve">Identity and relevant qualifications are checked.</w:t>
      </w:r>
    </w:p>
    <w:p>
      <w:pPr>
        <w:pStyle w:val="ListParagraph"/>
        <w:numPr>
          <w:ilvl w:val="0"/>
          <w:numId w:val="2"/>
        </w:numPr>
        <w:spacing w:after="60"/>
      </w:pPr>
      <w:r>
        <w:t xml:space="preserve">A trial or probation period applies where possible.</w:t>
      </w:r>
    </w:p>
    <w:p>
      <w:pPr>
        <w:spacing w:after="140"/>
      </w:pPr>
      <w:r>
        <w:rPr>
          <w:b/>
          <w:bCs/>
        </w:rPr>
        <w:t xml:space="preserve">Training</w:t>
      </w:r>
    </w:p>
    <w:p>
      <w:pPr>
        <w:pStyle w:val="ListParagraph"/>
        <w:numPr>
          <w:ilvl w:val="0"/>
          <w:numId w:val="2"/>
        </w:numPr>
        <w:spacing w:after="60"/>
      </w:pPr>
      <w:r>
        <w:t xml:space="preserve">Every new person receives this policy and the code of conduct, and signs the declaration (Annex A) before working with children.</w:t>
      </w:r>
    </w:p>
    <w:p>
      <w:pPr>
        <w:pStyle w:val="ListParagraph"/>
        <w:numPr>
          <w:ilvl w:val="0"/>
          <w:numId w:val="2"/>
        </w:numPr>
        <w:spacing w:after="60"/>
      </w:pPr>
      <w:r>
        <w:t xml:space="preserve">Safeguarding induction for all; refresher at least every two years.</w:t>
      </w:r>
    </w:p>
    <w:p>
      <w:pPr>
        <w:pStyle w:val="ListParagraph"/>
        <w:numPr>
          <w:ilvl w:val="0"/>
          <w:numId w:val="2"/>
        </w:numPr>
        <w:spacing w:after="60"/>
      </w:pPr>
      <w:r>
        <w:t xml:space="preserve">Specialist training for the Lead and Deputy.</w:t>
      </w:r>
    </w:p>
    <w:p>
      <w:pPr>
        <w:pStyle w:val="ListParagraph"/>
        <w:numPr>
          <w:ilvl w:val="0"/>
          <w:numId w:val="2"/>
        </w:numPr>
        <w:spacing w:after="60"/>
      </w:pPr>
      <w:r>
        <w:t xml:space="preserve">Pre-departure safeguarding briefing for every international mobility team.</w:t>
      </w:r>
    </w:p>
    <w:p>
      <w:pPr>
        <w:pStyle w:val="Heading1"/>
      </w:pPr>
      <w:r>
        <w:t xml:space="preserve">5. Code of conduct</w:t>
      </w:r>
    </w:p>
    <w:p>
      <w:pPr>
        <w:spacing w:after="140"/>
      </w:pPr>
      <w:r>
        <w:t xml:space="preserve">Everyone covered by this policy agrees to these rules, inside and outside POP HUB activities, in person and online.</w:t>
      </w:r>
    </w:p>
    <w:p>
      <w:pPr>
        <w:spacing w:after="140"/>
      </w:pPr>
      <w:r>
        <w:rPr>
          <w:b/>
          <w:bCs/>
        </w:rPr>
        <w:t xml:space="preserve">Always</w:t>
      </w:r>
    </w:p>
    <w:p>
      <w:pPr>
        <w:pStyle w:val="ListParagraph"/>
        <w:numPr>
          <w:ilvl w:val="0"/>
          <w:numId w:val="2"/>
        </w:numPr>
        <w:spacing w:after="60"/>
      </w:pPr>
      <w:r>
        <w:t xml:space="preserve">Treat every child with respect and dignity, without discrimination.</w:t>
      </w:r>
    </w:p>
    <w:p>
      <w:pPr>
        <w:pStyle w:val="ListParagraph"/>
        <w:numPr>
          <w:ilvl w:val="0"/>
          <w:numId w:val="2"/>
        </w:numPr>
        <w:spacing w:after="60"/>
      </w:pPr>
      <w:r>
        <w:t xml:space="preserve">Follow the "two adults" rule: avoid being alone with a child out of sight of others; if unavoidable, stay visible and tell a colleague.</w:t>
      </w:r>
    </w:p>
    <w:p>
      <w:pPr>
        <w:pStyle w:val="ListParagraph"/>
        <w:numPr>
          <w:ilvl w:val="0"/>
          <w:numId w:val="2"/>
        </w:numPr>
        <w:spacing w:after="60"/>
      </w:pPr>
      <w:r>
        <w:t xml:space="preserve">Keep professional boundaries in physical contact, language and gifts.</w:t>
      </w:r>
    </w:p>
    <w:p>
      <w:pPr>
        <w:pStyle w:val="ListParagraph"/>
        <w:numPr>
          <w:ilvl w:val="0"/>
          <w:numId w:val="2"/>
        </w:numPr>
        <w:spacing w:after="60"/>
      </w:pPr>
      <w:r>
        <w:t xml:space="preserve">Plan activities to be safe, inclusive and appropriate to age and ability.</w:t>
      </w:r>
    </w:p>
    <w:p>
      <w:pPr>
        <w:pStyle w:val="ListParagraph"/>
        <w:numPr>
          <w:ilvl w:val="0"/>
          <w:numId w:val="2"/>
        </w:numPr>
        <w:spacing w:after="60"/>
      </w:pPr>
      <w:r>
        <w:t xml:space="preserve">Respect children's privacy in rooms, bathrooms and changing areas.</w:t>
      </w:r>
    </w:p>
    <w:p>
      <w:pPr>
        <w:pStyle w:val="ListParagraph"/>
        <w:numPr>
          <w:ilvl w:val="0"/>
          <w:numId w:val="2"/>
        </w:numPr>
        <w:spacing w:after="60"/>
      </w:pPr>
      <w:r>
        <w:t xml:space="preserve">Use only official POP HUB channels and group chats (with another adult included) to communicate with children.</w:t>
      </w:r>
    </w:p>
    <w:p>
      <w:pPr>
        <w:pStyle w:val="ListParagraph"/>
        <w:numPr>
          <w:ilvl w:val="0"/>
          <w:numId w:val="2"/>
        </w:numPr>
        <w:spacing w:after="60"/>
      </w:pPr>
      <w:r>
        <w:t xml:space="preserve">Report any concern, suspicion or breach of this code to the Safeguarding Lead.</w:t>
      </w:r>
    </w:p>
    <w:p>
      <w:pPr>
        <w:spacing w:after="140"/>
      </w:pPr>
      <w:r>
        <w:rPr>
          <w:b/>
          <w:bCs/>
        </w:rPr>
        <w:t xml:space="preserve">Never</w:t>
      </w:r>
    </w:p>
    <w:p>
      <w:pPr>
        <w:pStyle w:val="ListParagraph"/>
        <w:numPr>
          <w:ilvl w:val="0"/>
          <w:numId w:val="2"/>
        </w:numPr>
        <w:spacing w:after="60"/>
      </w:pPr>
      <w:r>
        <w:t xml:space="preserve">Hit, humiliate, threaten or use any physical or degrading punishment.</w:t>
      </w:r>
    </w:p>
    <w:p>
      <w:pPr>
        <w:pStyle w:val="ListParagraph"/>
        <w:numPr>
          <w:ilvl w:val="0"/>
          <w:numId w:val="2"/>
        </w:numPr>
        <w:spacing w:after="60"/>
      </w:pPr>
      <w:r>
        <w:t xml:space="preserve">Engage in any sexual or romantic contact or language with a child.</w:t>
      </w:r>
    </w:p>
    <w:p>
      <w:pPr>
        <w:pStyle w:val="ListParagraph"/>
        <w:numPr>
          <w:ilvl w:val="0"/>
          <w:numId w:val="2"/>
        </w:numPr>
        <w:spacing w:after="60"/>
      </w:pPr>
      <w:r>
        <w:t xml:space="preserve">Show children sexual, violent or otherwise inappropriate material.</w:t>
      </w:r>
    </w:p>
    <w:p>
      <w:pPr>
        <w:pStyle w:val="ListParagraph"/>
        <w:numPr>
          <w:ilvl w:val="0"/>
          <w:numId w:val="2"/>
        </w:numPr>
        <w:spacing w:after="60"/>
      </w:pPr>
      <w:r>
        <w:t xml:space="preserve">Give children alcohol, tobacco or drugs, or use them while responsible for children.</w:t>
      </w:r>
    </w:p>
    <w:p>
      <w:pPr>
        <w:pStyle w:val="ListParagraph"/>
        <w:numPr>
          <w:ilvl w:val="0"/>
          <w:numId w:val="2"/>
        </w:numPr>
        <w:spacing w:after="60"/>
      </w:pPr>
      <w:r>
        <w:t xml:space="preserve">Share rooms or beds with children, or invite a child to your home or accommodation.</w:t>
      </w:r>
    </w:p>
    <w:p>
      <w:pPr>
        <w:pStyle w:val="ListParagraph"/>
        <w:numPr>
          <w:ilvl w:val="0"/>
          <w:numId w:val="2"/>
        </w:numPr>
        <w:spacing w:after="60"/>
      </w:pPr>
      <w:r>
        <w:t xml:space="preserve">Contact children privately on personal social media or messaging.</w:t>
      </w:r>
    </w:p>
    <w:p>
      <w:pPr>
        <w:pStyle w:val="ListParagraph"/>
        <w:numPr>
          <w:ilvl w:val="0"/>
          <w:numId w:val="2"/>
        </w:numPr>
        <w:spacing w:after="60"/>
      </w:pPr>
      <w:r>
        <w:t xml:space="preserve">Photograph or film children without consent, or post images that identify where they live.</w:t>
      </w:r>
    </w:p>
    <w:p>
      <w:pPr>
        <w:pStyle w:val="ListParagraph"/>
        <w:numPr>
          <w:ilvl w:val="0"/>
          <w:numId w:val="2"/>
        </w:numPr>
        <w:spacing w:after="60"/>
      </w:pPr>
      <w:r>
        <w:t xml:space="preserve">Ignore, hide or try to deal alone with a concern.</w:t>
      </w:r>
    </w:p>
    <w:p>
      <w:pPr>
        <w:spacing w:after="140"/>
      </w:pPr>
      <w:r>
        <w:t xml:space="preserve">The code also covers how children treat each other: bullying, harassment and violence between participants are not accepted, and participants agree group rules at the start of each activity.</w:t>
      </w:r>
    </w:p>
    <w:p>
      <w:pPr>
        <w:spacing w:after="140"/>
      </w:pPr>
      <w:r>
        <w:t xml:space="preserve">Breaches lead to action under POP HUB's internal procedures, up to removal from the activity or organisation, and referral to the authorities where required.</w:t>
      </w:r>
    </w:p>
    <w:p>
      <w:pPr>
        <w:pStyle w:val="Heading1"/>
      </w:pPr>
      <w:r>
        <w:t xml:space="preserve">6. Procedures: safe activities</w:t>
      </w:r>
    </w:p>
    <w:p>
      <w:pPr>
        <w:spacing w:after="140"/>
      </w:pPr>
      <w:r>
        <w:rPr>
          <w:b/>
          <w:bCs/>
        </w:rPr>
        <w:t xml:space="preserve">Risk assessment.</w:t>
      </w:r>
      <w:r>
        <w:t xml:space="preserve"> Every activity and project involving children has a written safeguarding risk assessment before it starts. Each risk is rated High (likely and serious), Medium (likely or serious) or Low, with a mitigation and an owner. The risk register is reviewed after each activity.</w:t>
      </w:r>
    </w:p>
    <w:p>
      <w:pPr>
        <w:spacing w:after="140"/>
      </w:pPr>
      <w:r>
        <w:rPr>
          <w:b/>
          <w:bCs/>
        </w:rPr>
        <w:t xml:space="preserve">Activities and events</w:t>
      </w:r>
    </w:p>
    <w:p>
      <w:pPr>
        <w:pStyle w:val="ListParagraph"/>
        <w:numPr>
          <w:ilvl w:val="0"/>
          <w:numId w:val="2"/>
        </w:numPr>
        <w:spacing w:after="60"/>
      </w:pPr>
      <w:r>
        <w:t xml:space="preserve">Signed parental/guardian consent for every participant under 18, with emergency contacts and health or dietary needs.</w:t>
      </w:r>
    </w:p>
    <w:p>
      <w:pPr>
        <w:pStyle w:val="ListParagraph"/>
        <w:numPr>
          <w:ilvl w:val="0"/>
          <w:numId w:val="2"/>
        </w:numPr>
        <w:spacing w:after="60"/>
      </w:pPr>
      <w:r>
        <w:t xml:space="preserve">Adequate adult-to-child ratio, with mixed-gender leader teams where groups are mixed.</w:t>
      </w:r>
    </w:p>
    <w:p>
      <w:pPr>
        <w:pStyle w:val="ListParagraph"/>
        <w:numPr>
          <w:ilvl w:val="0"/>
          <w:numId w:val="2"/>
        </w:numPr>
        <w:spacing w:after="60"/>
      </w:pPr>
      <w:r>
        <w:t xml:space="preserve">Staff and volunteers are identifiable (badge or T-shirt).</w:t>
      </w:r>
    </w:p>
    <w:p>
      <w:pPr>
        <w:pStyle w:val="ListParagraph"/>
        <w:numPr>
          <w:ilvl w:val="0"/>
          <w:numId w:val="2"/>
        </w:numPr>
        <w:spacing w:after="60"/>
      </w:pPr>
      <w:r>
        <w:t xml:space="preserve">Venues are checked for safety and accessibility; separate sleeping and bathroom areas by gender and between adults and minors.</w:t>
      </w:r>
    </w:p>
    <w:p>
      <w:pPr>
        <w:pStyle w:val="ListParagraph"/>
        <w:numPr>
          <w:ilvl w:val="0"/>
          <w:numId w:val="2"/>
        </w:numPr>
        <w:spacing w:after="60"/>
      </w:pPr>
      <w:r>
        <w:t xml:space="preserve">Children are only released to authorised adults.</w:t>
      </w:r>
    </w:p>
    <w:p>
      <w:pPr>
        <w:spacing w:after="140"/>
      </w:pPr>
      <w:r>
        <w:rPr>
          <w:b/>
          <w:bCs/>
        </w:rPr>
        <w:t xml:space="preserve">International mobilities (Erasmus+ youth exchanges, CERV activities)</w:t>
      </w:r>
    </w:p>
    <w:p>
      <w:pPr>
        <w:pStyle w:val="ListParagraph"/>
        <w:numPr>
          <w:ilvl w:val="0"/>
          <w:numId w:val="2"/>
        </w:numPr>
        <w:spacing w:after="60"/>
      </w:pPr>
      <w:r>
        <w:t xml:space="preserve">Every partner signs a safeguarding agreement (or shows an equivalent policy) before the mobility.</w:t>
      </w:r>
    </w:p>
    <w:p>
      <w:pPr>
        <w:pStyle w:val="ListParagraph"/>
        <w:numPr>
          <w:ilvl w:val="0"/>
          <w:numId w:val="2"/>
        </w:numPr>
        <w:spacing w:after="60"/>
      </w:pPr>
      <w:r>
        <w:t xml:space="preserve">Each national group under 18 travels with a vetted group leader who holds the consent forms.</w:t>
      </w:r>
    </w:p>
    <w:p>
      <w:pPr>
        <w:pStyle w:val="ListParagraph"/>
        <w:numPr>
          <w:ilvl w:val="0"/>
          <w:numId w:val="2"/>
        </w:numPr>
        <w:spacing w:after="60"/>
      </w:pPr>
      <w:r>
        <w:t xml:space="preserve">Participants and leaders receive a briefing on this policy, group rules and how to report, in a language they understand.</w:t>
      </w:r>
    </w:p>
    <w:p>
      <w:pPr>
        <w:pStyle w:val="ListParagraph"/>
        <w:numPr>
          <w:ilvl w:val="0"/>
          <w:numId w:val="2"/>
        </w:numPr>
        <w:spacing w:after="60"/>
      </w:pPr>
      <w:r>
        <w:t xml:space="preserve">On site, a named safeguarding focal point is introduced on day one, with local emergency numbers displayed.</w:t>
      </w:r>
    </w:p>
    <w:p>
      <w:pPr>
        <w:pStyle w:val="ListParagraph"/>
        <w:numPr>
          <w:ilvl w:val="0"/>
          <w:numId w:val="2"/>
        </w:numPr>
        <w:spacing w:after="60"/>
      </w:pPr>
      <w:r>
        <w:t xml:space="preserve">Night-time rules, curfew and room checks are agreed in advance.</w:t>
      </w:r>
    </w:p>
    <w:p>
      <w:pPr>
        <w:spacing w:after="140"/>
      </w:pPr>
      <w:r>
        <w:rPr>
          <w:b/>
          <w:bCs/>
        </w:rPr>
        <w:t xml:space="preserve">Online safety and ICT</w:t>
      </w:r>
    </w:p>
    <w:p>
      <w:pPr>
        <w:pStyle w:val="ListParagraph"/>
        <w:numPr>
          <w:ilvl w:val="0"/>
          <w:numId w:val="2"/>
        </w:numPr>
        <w:spacing w:after="60"/>
      </w:pPr>
      <w:r>
        <w:t xml:space="preserve">Online sessions use POP HUB accounts, with at least two adults present.</w:t>
      </w:r>
    </w:p>
    <w:p>
      <w:pPr>
        <w:pStyle w:val="ListParagraph"/>
        <w:numPr>
          <w:ilvl w:val="0"/>
          <w:numId w:val="2"/>
        </w:numPr>
        <w:spacing w:after="60"/>
      </w:pPr>
      <w:r>
        <w:t xml:space="preserve">No private one-to-one messaging with children; group channels include a second adult.</w:t>
      </w:r>
    </w:p>
    <w:p>
      <w:pPr>
        <w:pStyle w:val="ListParagraph"/>
        <w:numPr>
          <w:ilvl w:val="0"/>
          <w:numId w:val="2"/>
        </w:numPr>
        <w:spacing w:after="60"/>
      </w:pPr>
      <w:r>
        <w:t xml:space="preserve">Children's personal data is stored securely, access-limited and processed under GDPR.</w:t>
      </w:r>
    </w:p>
    <w:p>
      <w:pPr>
        <w:spacing w:after="140"/>
      </w:pPr>
      <w:r>
        <w:rPr>
          <w:b/>
          <w:bCs/>
        </w:rPr>
        <w:t xml:space="preserve">Images and communication</w:t>
      </w:r>
    </w:p>
    <w:p>
      <w:pPr>
        <w:pStyle w:val="ListParagraph"/>
        <w:numPr>
          <w:ilvl w:val="0"/>
          <w:numId w:val="2"/>
        </w:numPr>
        <w:spacing w:after="60"/>
      </w:pPr>
      <w:r>
        <w:t xml:space="preserve">Written consent from the child and parent/guardian before taking or publishing images or stories.</w:t>
      </w:r>
    </w:p>
    <w:p>
      <w:pPr>
        <w:pStyle w:val="ListParagraph"/>
        <w:numPr>
          <w:ilvl w:val="0"/>
          <w:numId w:val="2"/>
        </w:numPr>
        <w:spacing w:after="60"/>
      </w:pPr>
      <w:r>
        <w:t xml:space="preserve">No images of children undressed or in inappropriate poses.</w:t>
      </w:r>
    </w:p>
    <w:p>
      <w:pPr>
        <w:pStyle w:val="ListParagraph"/>
        <w:numPr>
          <w:ilvl w:val="0"/>
          <w:numId w:val="2"/>
        </w:numPr>
        <w:spacing w:after="60"/>
      </w:pPr>
      <w:r>
        <w:t xml:space="preserve">No full names, schools, home locations or identifying landmarks; geotagging disabled.</w:t>
      </w:r>
    </w:p>
    <w:p>
      <w:pPr>
        <w:pStyle w:val="ListParagraph"/>
        <w:numPr>
          <w:ilvl w:val="0"/>
          <w:numId w:val="2"/>
        </w:numPr>
        <w:spacing w:after="60"/>
      </w:pPr>
      <w:r>
        <w:t xml:space="preserve">Any external photographer or journalist is briefed and supervised.</w:t>
      </w:r>
    </w:p>
    <w:p>
      <w:pPr>
        <w:spacing w:after="140"/>
      </w:pPr>
      <w:r>
        <w:rPr>
          <w:b/>
          <w:bCs/>
        </w:rPr>
        <w:t xml:space="preserve">Partners.</w:t>
      </w:r>
      <w:r>
        <w:t xml:space="preserve"> Partnership agreements state how each partner protects children and how concerns are reported between organisations. POP HUB supports smaller partners to meet these minimum standards.</w:t>
      </w:r>
    </w:p>
    <w:p>
      <w:pPr>
        <w:pStyle w:val="Heading1"/>
      </w:pPr>
      <w:r>
        <w:t xml:space="preserve">7. Reporting and responding to concerns</w:t>
      </w:r>
    </w:p>
    <w:p>
      <w:pPr>
        <w:spacing w:after="140"/>
      </w:pPr>
      <w:r>
        <w:t xml:space="preserve">Any concern must reach the Safeguarding Lead within 24 hours — immediately if a child is in danger.</w:t>
      </w:r>
    </w:p>
    <w:p>
      <w:pPr>
        <w:spacing w:after="140"/>
      </w:pPr>
      <w:r>
        <w:rPr>
          <w:b/>
          <w:bCs/>
        </w:rPr>
        <w:t xml:space="preserve">If a child tells you something</w:t>
      </w:r>
    </w:p>
    <w:p>
      <w:pPr>
        <w:pStyle w:val="ListParagraph"/>
        <w:numPr>
          <w:ilvl w:val="0"/>
          <w:numId w:val="2"/>
        </w:numPr>
        <w:spacing w:after="60"/>
      </w:pPr>
      <w:r>
        <w:t xml:space="preserve">Stay calm, listen and believe them; don't ask leading questions.</w:t>
      </w:r>
    </w:p>
    <w:p>
      <w:pPr>
        <w:pStyle w:val="ListParagraph"/>
        <w:numPr>
          <w:ilvl w:val="0"/>
          <w:numId w:val="2"/>
        </w:numPr>
        <w:spacing w:after="60"/>
      </w:pPr>
      <w:r>
        <w:t xml:space="preserve">Never promise to keep it secret; explain who you will need to tell.</w:t>
      </w:r>
    </w:p>
    <w:p>
      <w:pPr>
        <w:pStyle w:val="ListParagraph"/>
        <w:numPr>
          <w:ilvl w:val="0"/>
          <w:numId w:val="2"/>
        </w:numPr>
        <w:spacing w:after="60"/>
      </w:pPr>
      <w:r>
        <w:t xml:space="preserve">Write down what was said, in the child's words, with date and time (Annex B).</w:t>
      </w:r>
    </w:p>
    <w:p>
      <w:pPr>
        <w:pStyle w:val="ListParagraph"/>
        <w:numPr>
          <w:ilvl w:val="0"/>
          <w:numId w:val="2"/>
        </w:numPr>
        <w:spacing w:after="60"/>
      </w:pPr>
      <w:r>
        <w:t xml:space="preserve">Don't investigate or confront the alleged person yourself.</w:t>
      </w:r>
    </w:p>
    <w:p>
      <w:pPr>
        <w:spacing w:after="140"/>
      </w:pPr>
      <w:r>
        <w:rPr>
          <w:b/>
          <w:bCs/>
        </w:rPr>
        <w:t xml:space="preserve">Steps</w:t>
      </w:r>
    </w:p>
    <w:p>
      <w:pPr>
        <w:pStyle w:val="ListParagraph"/>
        <w:numPr>
          <w:ilvl w:val="0"/>
          <w:numId w:val="4"/>
        </w:numPr>
        <w:spacing w:after="60"/>
      </w:pPr>
      <w:r>
        <w:t xml:space="preserve">Immediate danger → call 112 first, then the Safeguarding Lead.</w:t>
      </w:r>
    </w:p>
    <w:p>
      <w:pPr>
        <w:pStyle w:val="ListParagraph"/>
        <w:numPr>
          <w:ilvl w:val="0"/>
          <w:numId w:val="4"/>
        </w:numPr>
        <w:spacing w:after="60"/>
      </w:pPr>
      <w:r>
        <w:t xml:space="preserve">Report the concern to the Safeguarding Lead (or the Deputy if it involves the Lead; or the President if it involves both).</w:t>
      </w:r>
    </w:p>
    <w:p>
      <w:pPr>
        <w:pStyle w:val="ListParagraph"/>
        <w:numPr>
          <w:ilvl w:val="0"/>
          <w:numId w:val="4"/>
        </w:numPr>
        <w:spacing w:after="60"/>
      </w:pPr>
      <w:r>
        <w:t xml:space="preserve">The Lead decides with the Board whether the concern is internal (involves someone acting for POP HUB) or external (family, community, online).</w:t>
      </w:r>
    </w:p>
    <w:p>
      <w:pPr>
        <w:pStyle w:val="ListParagraph"/>
        <w:numPr>
          <w:ilvl w:val="0"/>
          <w:numId w:val="4"/>
        </w:numPr>
        <w:spacing w:after="60"/>
      </w:pPr>
      <w:r>
        <w:t xml:space="preserve">Internal concern → apply internal procedures: the person is removed from contact with children during the inquiry; the case is reported to the authorities where it may be a crime; partners and funders are informed as agreements require.</w:t>
      </w:r>
    </w:p>
    <w:p>
      <w:pPr>
        <w:pStyle w:val="ListParagraph"/>
        <w:numPr>
          <w:ilvl w:val="0"/>
          <w:numId w:val="4"/>
        </w:numPr>
        <w:spacing w:after="60"/>
      </w:pPr>
      <w:r>
        <w:t xml:space="preserve">External concern → refer to the CPCJ of the child's municipality or to the authorities, as Portuguese law requires.</w:t>
      </w:r>
    </w:p>
    <w:p>
      <w:pPr>
        <w:pStyle w:val="ListParagraph"/>
        <w:numPr>
          <w:ilvl w:val="0"/>
          <w:numId w:val="4"/>
        </w:numPr>
        <w:spacing w:after="60"/>
      </w:pPr>
      <w:r>
        <w:t xml:space="preserve">Record every decision and action, store it confidentially, and follow up on what the authorities do.</w:t>
      </w:r>
    </w:p>
    <w:p>
      <w:pPr>
        <w:pStyle w:val="ListParagraph"/>
        <w:numPr>
          <w:ilvl w:val="0"/>
          <w:numId w:val="4"/>
        </w:numPr>
        <w:spacing w:after="60"/>
      </w:pPr>
      <w:r>
        <w:t xml:space="preserve">Support the child, the person who reported and, fairly, the person accused, with protection from reprisals.</w:t>
      </w:r>
    </w:p>
    <w:p>
      <w:pPr>
        <w:spacing w:after="140"/>
      </w:pPr>
      <w:r>
        <w:t xml:space="preserve">During an international mobility, the on-site focal point informs the Lead, the sending organisation and the hosting country's authorities.</w:t>
      </w:r>
    </w:p>
    <w:p>
      <w:pPr>
        <w:spacing w:after="140"/>
      </w:pPr>
      <w:r>
        <w:rPr>
          <w:b/>
          <w:bCs/>
        </w:rPr>
        <w:t xml:space="preserve">Key contacts (Portugal)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00"/>
        <w:gridCol w:w="5626"/>
      </w:tblGrid>
      <w:tr>
        <w:trPr>
          <w:tblHeader/>
        </w:trPr>
        <w:tc>
          <w:tcPr>
            <w:tcW w:type="dxa" w:w="3400"/>
            <w:tcBorders>
              <w:top w:val="single" w:color="CCBFD6" w:sz="4"/>
              <w:left w:val="single" w:color="CCBFD6" w:sz="4"/>
              <w:bottom w:val="single" w:color="CCBFD6" w:sz="4"/>
              <w:right w:val="single" w:color="CCBFD6" w:sz="4"/>
            </w:tcBorders>
            <w:shd w:fill="B6A3C3" w:color="auto" w:val="clear"/>
            <w:tcMar>
              <w:top w:type="dxa" w:w="80"/>
              <w:left w:type="dxa" w:w="120"/>
              <w:bottom w:type="dxa" w:w="80"/>
              <w:right w:type="dxa" w:w="120"/>
            </w:tcMar>
          </w:tcPr>
          <w:p>
            <w:pPr>
              <w:spacing w:after="0"/>
            </w:pPr>
            <w:r>
              <w:rPr>
                <w:b/>
                <w:bCs/>
                <w:color w:val="FFFFFF"/>
                <w:sz w:val="19"/>
                <w:szCs w:val="19"/>
              </w:rPr>
              <w:t xml:space="preserve">Service</w:t>
            </w:r>
          </w:p>
        </w:tc>
        <w:tc>
          <w:tcPr>
            <w:tcW w:type="dxa" w:w="5626"/>
            <w:tcBorders>
              <w:top w:val="single" w:color="CCBFD6" w:sz="4"/>
              <w:left w:val="single" w:color="CCBFD6" w:sz="4"/>
              <w:bottom w:val="single" w:color="CCBFD6" w:sz="4"/>
              <w:right w:val="single" w:color="CCBFD6" w:sz="4"/>
            </w:tcBorders>
            <w:shd w:fill="B6A3C3" w:color="auto" w:val="clear"/>
            <w:tcMar>
              <w:top w:type="dxa" w:w="80"/>
              <w:left w:type="dxa" w:w="120"/>
              <w:bottom w:type="dxa" w:w="80"/>
              <w:right w:type="dxa" w:w="120"/>
            </w:tcMar>
          </w:tcPr>
          <w:p>
            <w:pPr>
              <w:spacing w:after="0"/>
            </w:pPr>
            <w:r>
              <w:rPr>
                <w:b/>
                <w:bCs/>
                <w:color w:val="FFFFFF"/>
                <w:sz w:val="19"/>
                <w:szCs w:val="19"/>
              </w:rPr>
              <w:t xml:space="preserve">Contact</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Emergency (police, medical)</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112</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CPCJ Ferreira do Alentejo</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284 739 475 – cpcj.ferreiraalentejo@cnpdpcj.pt (Av. General Humberto Delgado, s/n, Edifício DASEF, 7900-554 Ferreira do Alentejo)</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SOS Criança (IAC)</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116 111</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APAV – victim support</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116 006</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POP HUB Safeguarding Lead</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Michelle Rebelo – michelle@pophub.pt</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POP HUB Deputy Lead</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[phone / email]</w:t>
            </w:r>
          </w:p>
        </w:tc>
      </w:tr>
    </w:tbl>
    <w:p>
      <w:pPr>
        <w:spacing w:after="120"/>
      </w:pPr>
    </w:p>
    <w:p>
      <w:pPr>
        <w:spacing w:after="140"/>
      </w:pPr>
      <w:r>
        <w:t xml:space="preserve">Children and families can also raise concerns directly with any trusted team member, by email to michelle@pophub.pt, or anonymously through a feedback box at activities.</w:t>
      </w:r>
    </w:p>
    <w:p>
      <w:pPr>
        <w:pStyle w:val="Heading1"/>
      </w:pPr>
      <w:r>
        <w:t xml:space="preserve">8. Accountability: monitoring and review</w:t>
      </w:r>
    </w:p>
    <w:p>
      <w:pPr>
        <w:spacing w:after="140"/>
      </w:pPr>
      <w:r>
        <w:t xml:space="preserve">The Board reviews this policy once a year, and earlier if a serious incident occurs.</w:t>
      </w:r>
    </w:p>
    <w:p>
      <w:pPr>
        <w:pStyle w:val="ListParagraph"/>
        <w:numPr>
          <w:ilvl w:val="0"/>
          <w:numId w:val="2"/>
        </w:numPr>
        <w:spacing w:after="60"/>
      </w:pPr>
      <w:r>
        <w:t xml:space="preserve">The Safeguarding Lead reports to the Board at least twice a year on training, risk assessments, concerns raised and lessons learnt (anonymised).</w:t>
      </w:r>
    </w:p>
    <w:p>
      <w:pPr>
        <w:pStyle w:val="ListParagraph"/>
        <w:numPr>
          <w:ilvl w:val="0"/>
          <w:numId w:val="2"/>
        </w:numPr>
        <w:spacing w:after="60"/>
      </w:pPr>
      <w:r>
        <w:t xml:space="preserve">After each project, participant and partner feedback includes safeguarding questions.</w:t>
      </w:r>
    </w:p>
    <w:p>
      <w:pPr>
        <w:pStyle w:val="ListParagraph"/>
        <w:numPr>
          <w:ilvl w:val="0"/>
          <w:numId w:val="2"/>
        </w:numPr>
        <w:spacing w:after="60"/>
      </w:pPr>
      <w:r>
        <w:t xml:space="preserve">Learning from real cases feeds into changes to the policy and procedures.</w:t>
      </w:r>
    </w:p>
    <w:p>
      <w:pPr>
        <w:pStyle w:val="ListParagraph"/>
        <w:numPr>
          <w:ilvl w:val="0"/>
          <w:numId w:val="2"/>
        </w:numPr>
        <w:spacing w:after="60"/>
      </w:pPr>
      <w:r>
        <w:t xml:space="preserve">A self-assessment against the four Keeping Children Safe standards (in place / working towards / not in place) is done every year.</w:t>
      </w:r>
    </w:p>
    <w:p>
      <w:pPr>
        <w:pStyle w:val="ListParagraph"/>
        <w:numPr>
          <w:ilvl w:val="0"/>
          <w:numId w:val="2"/>
        </w:numPr>
        <w:spacing w:after="60"/>
      </w:pPr>
      <w:r>
        <w:t xml:space="preserve">The Board uses this self-assessment and the Lead's reports in its annual review to decide any changes.</w:t>
      </w:r>
    </w:p>
    <w:p>
      <w:pPr>
        <w:pStyle w:val="ListParagraph"/>
        <w:numPr>
          <w:ilvl w:val="0"/>
          <w:numId w:val="2"/>
        </w:numPr>
        <w:spacing w:after="60"/>
      </w:pPr>
      <w:r>
        <w:t xml:space="preserve">A summary of safeguarding activity is included in POP HUB's annual report.</w:t>
      </w:r>
    </w:p>
    <w:p>
      <w:pPr>
        <w:spacing w:after="140"/>
      </w:pPr>
      <w:r>
        <w:t xml:space="preserve">The policy is published on pophub.pt, shared with every partner and participant group, and given to children in a child-friendly version in Portuguese and English.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00"/>
        <w:gridCol w:w="5626"/>
      </w:tblGrid>
      <w:tr>
        <w:trPr>
          <w:tblHeader/>
        </w:trPr>
        <w:tc>
          <w:tcPr>
            <w:tcW w:type="dxa" w:w="3400"/>
            <w:tcBorders>
              <w:top w:val="single" w:color="CCBFD6" w:sz="4"/>
              <w:left w:val="single" w:color="CCBFD6" w:sz="4"/>
              <w:bottom w:val="single" w:color="CCBFD6" w:sz="4"/>
              <w:right w:val="single" w:color="CCBFD6" w:sz="4"/>
            </w:tcBorders>
            <w:shd w:fill="B6A3C3" w:color="auto" w:val="clear"/>
            <w:tcMar>
              <w:top w:type="dxa" w:w="80"/>
              <w:left w:type="dxa" w:w="120"/>
              <w:bottom w:type="dxa" w:w="80"/>
              <w:right w:type="dxa" w:w="120"/>
            </w:tcMar>
          </w:tcPr>
          <w:p>
            <w:pPr>
              <w:spacing w:after="0"/>
            </w:pPr>
            <w:r>
              <w:rPr>
                <w:b/>
                <w:bCs/>
                <w:color w:val="FFFFFF"/>
                <w:sz w:val="19"/>
                <w:szCs w:val="19"/>
              </w:rPr>
              <w:t xml:space="preserve">Approval</w:t>
            </w:r>
          </w:p>
        </w:tc>
        <w:tc>
          <w:tcPr>
            <w:tcW w:type="dxa" w:w="5626"/>
            <w:tcBorders>
              <w:top w:val="single" w:color="CCBFD6" w:sz="4"/>
              <w:left w:val="single" w:color="CCBFD6" w:sz="4"/>
              <w:bottom w:val="single" w:color="CCBFD6" w:sz="4"/>
              <w:right w:val="single" w:color="CCBFD6" w:sz="4"/>
            </w:tcBorders>
            <w:shd w:fill="B6A3C3" w:color="auto" w:val="clear"/>
            <w:tcMar>
              <w:top w:type="dxa" w:w="80"/>
              <w:left w:type="dxa" w:w="120"/>
              <w:bottom w:type="dxa" w:w="80"/>
              <w:right w:type="dxa" w:w="120"/>
            </w:tcMar>
          </w:tcPr>
          <w:p>
            <w:pPr>
              <w:spacing w:after="0"/>
            </w:pPr>
            <w:r>
              <w:rPr>
                <w:b/>
                <w:bCs/>
                <w:color w:val="FFFFFF"/>
                <w:sz w:val="19"/>
                <w:szCs w:val="19"/>
              </w:rPr>
              <w:t xml:space="preserve"> </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Approved by the Board on</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[date]</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Signed (President)</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Michelle Rebelo</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Next review</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[date + 12 months]</w:t>
            </w:r>
          </w:p>
        </w:tc>
      </w:tr>
    </w:tbl>
    <w:p>
      <w:pPr>
        <w:spacing w:after="120"/>
      </w:pPr>
    </w:p>
    <w:p>
      <w:pPr>
        <w:pStyle w:val="Heading1"/>
      </w:pPr>
      <w:r>
        <w:t xml:space="preserve">Annex A – Declaration of commitment</w:t>
      </w:r>
    </w:p>
    <w:p>
      <w:pPr>
        <w:spacing w:after="140"/>
      </w:pPr>
      <w:r>
        <w:t xml:space="preserve">I have read and understood the POP HUB Child Safeguarding Policy and Code of Conduct. I agree to follow them at all times while acting for POP HUB, and to report any concern to the Safeguarding Lead. I understand that breaching them may lead to my removal and to referral to the authorities.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00"/>
        <w:gridCol w:w="5626"/>
      </w:tblGrid>
      <w:tr>
        <w:trPr>
          <w:tblHeader/>
        </w:trPr>
        <w:tc>
          <w:tcPr>
            <w:tcW w:type="dxa" w:w="3400"/>
            <w:tcBorders>
              <w:top w:val="single" w:color="CCBFD6" w:sz="4"/>
              <w:left w:val="single" w:color="CCBFD6" w:sz="4"/>
              <w:bottom w:val="single" w:color="CCBFD6" w:sz="4"/>
              <w:right w:val="single" w:color="CCBFD6" w:sz="4"/>
            </w:tcBorders>
            <w:shd w:fill="B6A3C3" w:color="auto" w:val="clear"/>
            <w:tcMar>
              <w:top w:type="dxa" w:w="80"/>
              <w:left w:type="dxa" w:w="120"/>
              <w:bottom w:type="dxa" w:w="80"/>
              <w:right w:type="dxa" w:w="120"/>
            </w:tcMar>
          </w:tcPr>
          <w:p>
            <w:pPr>
              <w:spacing w:after="0"/>
            </w:pPr>
            <w:r>
              <w:rPr>
                <w:b/>
                <w:bCs/>
                <w:color w:val="FFFFFF"/>
                <w:sz w:val="19"/>
                <w:szCs w:val="19"/>
              </w:rPr>
              <w:t xml:space="preserve">Declaration</w:t>
            </w:r>
          </w:p>
        </w:tc>
        <w:tc>
          <w:tcPr>
            <w:tcW w:type="dxa" w:w="5626"/>
            <w:tcBorders>
              <w:top w:val="single" w:color="CCBFD6" w:sz="4"/>
              <w:left w:val="single" w:color="CCBFD6" w:sz="4"/>
              <w:bottom w:val="single" w:color="CCBFD6" w:sz="4"/>
              <w:right w:val="single" w:color="CCBFD6" w:sz="4"/>
            </w:tcBorders>
            <w:shd w:fill="B6A3C3" w:color="auto" w:val="clear"/>
            <w:tcMar>
              <w:top w:type="dxa" w:w="80"/>
              <w:left w:type="dxa" w:w="120"/>
              <w:bottom w:type="dxa" w:w="80"/>
              <w:right w:type="dxa" w:w="120"/>
            </w:tcMar>
          </w:tcPr>
          <w:p>
            <w:pPr>
              <w:spacing w:after="0"/>
            </w:pPr>
            <w:r>
              <w:rPr>
                <w:b/>
                <w:bCs/>
                <w:color w:val="FFFFFF"/>
                <w:sz w:val="19"/>
                <w:szCs w:val="19"/>
              </w:rPr>
              <w:t xml:space="preserve"> </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Name</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 </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Role (staff / volunteer / trainer / partner / visitor)</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 </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Organisation (if partner)</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 </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Signature</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 </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Date</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 </w:t>
            </w:r>
          </w:p>
        </w:tc>
      </w:tr>
    </w:tbl>
    <w:p>
      <w:pPr>
        <w:spacing w:after="120"/>
      </w:pPr>
    </w:p>
    <w:p>
      <w:pPr>
        <w:pStyle w:val="Heading1"/>
      </w:pPr>
      <w:r>
        <w:t xml:space="preserve">Annex B – Concern report form</w:t>
      </w:r>
    </w:p>
    <w:p>
      <w:pPr>
        <w:spacing w:after="140"/>
      </w:pPr>
      <w:r>
        <w:t xml:space="preserve">Confidential. Complete within 24 hours and give only to the Safeguarding Lead.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00"/>
        <w:gridCol w:w="5626"/>
      </w:tblGrid>
      <w:tr>
        <w:trPr>
          <w:tblHeader/>
        </w:trPr>
        <w:tc>
          <w:tcPr>
            <w:tcW w:type="dxa" w:w="3400"/>
            <w:tcBorders>
              <w:top w:val="single" w:color="CCBFD6" w:sz="4"/>
              <w:left w:val="single" w:color="CCBFD6" w:sz="4"/>
              <w:bottom w:val="single" w:color="CCBFD6" w:sz="4"/>
              <w:right w:val="single" w:color="CCBFD6" w:sz="4"/>
            </w:tcBorders>
            <w:shd w:fill="B6A3C3" w:color="auto" w:val="clear"/>
            <w:tcMar>
              <w:top w:type="dxa" w:w="80"/>
              <w:left w:type="dxa" w:w="120"/>
              <w:bottom w:type="dxa" w:w="80"/>
              <w:right w:type="dxa" w:w="120"/>
            </w:tcMar>
          </w:tcPr>
          <w:p>
            <w:pPr>
              <w:spacing w:after="0"/>
            </w:pPr>
            <w:r>
              <w:rPr>
                <w:b/>
                <w:bCs/>
                <w:color w:val="FFFFFF"/>
                <w:sz w:val="19"/>
                <w:szCs w:val="19"/>
              </w:rPr>
              <w:t xml:space="preserve">Field</w:t>
            </w:r>
          </w:p>
        </w:tc>
        <w:tc>
          <w:tcPr>
            <w:tcW w:type="dxa" w:w="5626"/>
            <w:tcBorders>
              <w:top w:val="single" w:color="CCBFD6" w:sz="4"/>
              <w:left w:val="single" w:color="CCBFD6" w:sz="4"/>
              <w:bottom w:val="single" w:color="CCBFD6" w:sz="4"/>
              <w:right w:val="single" w:color="CCBFD6" w:sz="4"/>
            </w:tcBorders>
            <w:shd w:fill="B6A3C3" w:color="auto" w:val="clear"/>
            <w:tcMar>
              <w:top w:type="dxa" w:w="80"/>
              <w:left w:type="dxa" w:w="120"/>
              <w:bottom w:type="dxa" w:w="80"/>
              <w:right w:type="dxa" w:w="120"/>
            </w:tcMar>
          </w:tcPr>
          <w:p>
            <w:pPr>
              <w:spacing w:after="0"/>
            </w:pPr>
            <w:r>
              <w:rPr>
                <w:b/>
                <w:bCs/>
                <w:color w:val="FFFFFF"/>
                <w:sz w:val="19"/>
                <w:szCs w:val="19"/>
              </w:rPr>
              <w:t xml:space="preserve">Details</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Reported by (name, role, contact)</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 </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Date and time of report</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 </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Child's name, age, group/activity</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 </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Date, time and place of incident or disclosure</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 </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What was seen, heard or said (child's own words)</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 </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People involved or alleged (names, roles)</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 </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Witnesses</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 </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Immediate action taken</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 </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Parent/guardian informed? (yes / no / why not)</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 </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Received by Safeguarding Lead (name, date)</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 </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Decision and referral (CPCJ, police, internal)</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 </w:t>
            </w:r>
          </w:p>
        </w:tc>
      </w:tr>
      <w:tr>
        <w:trPr>
          <w:tblHeader w:val="off"/>
        </w:trPr>
        <w:tc>
          <w:tcPr>
            <w:tcW w:type="dxa" w:w="3400"/>
            <w:tcBorders>
              <w:top w:val="single" w:color="CCBFD6" w:sz="4"/>
              <w:left w:val="single" w:color="CCBFD6" w:sz="4"/>
              <w:bottom w:val="single" w:color="CCBFD6" w:sz="4"/>
              <w:right w:val="single" w:color="CCBFD6" w:sz="4"/>
            </w:tcBorders>
            <w:shd w:fill="EFE9F3" w:color="auto" w:val="clear"/>
            <w:tcMar>
              <w:top w:type="dxa" w:w="80"/>
              <w:left w:type="dxa" w:w="120"/>
              <w:bottom w:type="dxa" w:w="80"/>
              <w:right w:type="dxa" w:w="120"/>
            </w:tcMar>
          </w:tcPr>
          <w:p>
            <w:pPr>
              <w:spacing w:after="0"/>
            </w:pPr>
            <w:r>
              <w:rPr>
                <w:sz w:val="19"/>
                <w:szCs w:val="19"/>
              </w:rPr>
              <w:t xml:space="preserve">Follow-up and outcome</w:t>
            </w:r>
          </w:p>
        </w:tc>
        <w:tc>
          <w:tcPr>
            <w:tcW w:type="dxa" w:w="5626"/>
            <w:tcBorders>
              <w:top w:val="single" w:color="CCBFD6" w:sz="4"/>
              <w:left w:val="single" w:color="CCBFD6" w:sz="4"/>
              <w:bottom w:val="single" w:color="CCBFD6" w:sz="4"/>
              <w:right w:val="single" w:color="CCBFD6" w:sz="4"/>
            </w:tcBorders>
            <w:tcMar>
              <w:top w:type="dxa" w:w="80"/>
              <w:left w:type="dxa" w:w="120"/>
              <w:bottom w:type="dxa" w:w="80"/>
              <w:right w:type="dxa" w:w="120"/>
            </w:tcMar>
          </w:tcPr>
          <w:p>
            <w:pPr>
              <w:spacing w:after="0"/>
            </w:pPr>
            <w:r>
              <w:rPr>
                <w:sz w:val="19"/>
                <w:szCs w:val="19"/>
              </w:rPr>
              <w:t xml:space="preserve"> </w:t>
            </w:r>
          </w:p>
        </w:tc>
      </w:tr>
    </w:tbl>
    <w:p>
      <w:pPr>
        <w:spacing w:after="120"/>
      </w:pPr>
    </w:p>
    <w:p>
      <w:pPr>
        <w:pStyle w:val="Heading1"/>
      </w:pPr>
      <w:r>
        <w:t xml:space="preserve">Sources</w:t>
      </w:r>
    </w:p>
    <w:p>
      <w:pPr>
        <w:pStyle w:val="ListParagraph"/>
        <w:numPr>
          <w:ilvl w:val="0"/>
          <w:numId w:val="2"/>
        </w:numPr>
        <w:spacing w:after="60"/>
      </w:pPr>
      <w:r>
        <w:t xml:space="preserve">Keeping Children Safe: The International Child Safeguarding Standards – European Commission (https://commission.europa.eu/document/f53f19ef-c655-4d63-91e5-db4fee59ca3e_en)</w:t>
      </w:r>
    </w:p>
    <w:sectPr>
      <w:headerReference w:type="default" r:id="rId6"/>
      <w:headerReference w:type="first" r:id="rId7"/>
      <w:footerReference w:type="default" r:id="rId8"/>
      <w:footerReference w:type="first" r:id="rId9"/>
      <w:pgSz w:w="11906" w:h="16838" w:orient="portrait"/>
      <w:pgMar w:top="1440" w:right="1440" w:bottom="1440" w:left="1440" w:header="708" w:footer="708"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6"/>
        <w:szCs w:val="16"/>
      </w:rPr>
      <w:t xml:space="preserve">POP HUB – Child Safeguarding Policy · EN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B6A3C3" w:sz="8" w:space="4"/>
      </w:pBdr>
      <w:spacing w:after="160" w:before="360"/>
      <w:outlineLvl w:val="0"/>
    </w:pPr>
    <w:rPr>
      <w:rFonts w:ascii="Arial" w:cs="Arial" w:eastAsia="Arial" w:hAnsi="Arial"/>
      <w:b/>
      <w:bCs/>
      <w:color w:val="5E4673"/>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fa01bafae1b6ad46a6c99651dbb235308f0dbd9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Safeguarding Policy</dc:title>
  <dc:creator>POP HUB – Associação</dc:creator>
  <cp:lastModifiedBy>Un-named</cp:lastModifiedBy>
  <cp:revision>1</cp:revision>
  <dcterms:created xsi:type="dcterms:W3CDTF">2026-10-23T07:22:51.445Z</dcterms:created>
  <dcterms:modified xsi:type="dcterms:W3CDTF">2026-10-23T07:22:51.445Z</dcterms:modified>
</cp:coreProperties>
</file>

<file path=docProps/custom.xml><?xml version="1.0" encoding="utf-8"?>
<Properties xmlns="http://schemas.openxmlformats.org/officeDocument/2006/custom-properties" xmlns:vt="http://schemas.openxmlformats.org/officeDocument/2006/docPropsVTypes"/>
</file>